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9E" w:rsidRDefault="00F5469E" w:rsidP="00F5469E">
      <w:pPr>
        <w:jc w:val="center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 w:cs="Tahoma"/>
          <w:sz w:val="20"/>
          <w:szCs w:val="20"/>
        </w:rPr>
        <w:t>ФЕДЕРАЛЬНАЯ СЛУЖБА ПО НАДЗОРУ В СФЕРЕ ЗАЩИТЫ ПРАВ ПОТРЕБИТЕЛЕЙ И</w:t>
      </w:r>
    </w:p>
    <w:p w:rsidR="00F5469E" w:rsidRDefault="00F5469E" w:rsidP="00F5469E">
      <w:pPr>
        <w:jc w:val="center"/>
        <w:rPr>
          <w:rFonts w:ascii="Bookman Old Style" w:hAnsi="Bookman Old Style" w:cs="Tahoma"/>
          <w:sz w:val="20"/>
          <w:szCs w:val="20"/>
        </w:rPr>
      </w:pPr>
      <w:r>
        <w:rPr>
          <w:rFonts w:ascii="Bookman Old Style" w:hAnsi="Bookman Old Style" w:cs="Tahoma"/>
          <w:sz w:val="20"/>
          <w:szCs w:val="20"/>
        </w:rPr>
        <w:t>БЛАГОПОЛУЧИЯ ЧЕЛОВЕКА</w:t>
      </w:r>
    </w:p>
    <w:p w:rsidR="00F5469E" w:rsidRDefault="00F5469E" w:rsidP="00F5469E">
      <w:pPr>
        <w:jc w:val="both"/>
        <w:rPr>
          <w:rFonts w:ascii="Bookman Old Style" w:hAnsi="Bookman Old Style" w:cs="Tahoma"/>
          <w:sz w:val="20"/>
          <w:szCs w:val="20"/>
        </w:rPr>
      </w:pPr>
    </w:p>
    <w:p w:rsidR="00F5469E" w:rsidRDefault="00F5469E" w:rsidP="00F5469E">
      <w:pPr>
        <w:jc w:val="center"/>
        <w:rPr>
          <w:rFonts w:ascii="Bookman Old Style" w:hAnsi="Bookman Old Style" w:cs="Tahoma"/>
          <w:b/>
          <w:sz w:val="20"/>
          <w:szCs w:val="20"/>
        </w:rPr>
      </w:pPr>
      <w:r>
        <w:rPr>
          <w:rFonts w:ascii="Bookman Old Style" w:hAnsi="Bookman Old Style" w:cs="Tahoma"/>
          <w:b/>
          <w:sz w:val="20"/>
          <w:szCs w:val="20"/>
        </w:rPr>
        <w:t xml:space="preserve"> Федеральное бюджетное учреждение здравоохранения «Центр гигиены</w:t>
      </w:r>
    </w:p>
    <w:p w:rsidR="00F5469E" w:rsidRDefault="00F5469E" w:rsidP="00F5469E">
      <w:pPr>
        <w:jc w:val="center"/>
        <w:rPr>
          <w:rFonts w:ascii="Bookman Old Style" w:hAnsi="Bookman Old Style" w:cs="Tahoma"/>
          <w:b/>
          <w:sz w:val="20"/>
          <w:szCs w:val="20"/>
        </w:rPr>
      </w:pPr>
      <w:r>
        <w:rPr>
          <w:rFonts w:ascii="Bookman Old Style" w:hAnsi="Bookman Old Style" w:cs="Tahoma"/>
          <w:b/>
          <w:sz w:val="20"/>
          <w:szCs w:val="20"/>
        </w:rPr>
        <w:t>и эпидемиологии в Ханты-Мансийском автономном округе – Югре»</w:t>
      </w:r>
    </w:p>
    <w:p w:rsidR="00F5469E" w:rsidRDefault="00F5469E" w:rsidP="00F5469E">
      <w:pPr>
        <w:jc w:val="center"/>
        <w:rPr>
          <w:rFonts w:ascii="Bookman Old Style" w:hAnsi="Bookman Old Style" w:cs="Tahoma"/>
          <w:b/>
          <w:sz w:val="20"/>
          <w:szCs w:val="20"/>
        </w:rPr>
      </w:pPr>
      <w:r>
        <w:rPr>
          <w:rFonts w:ascii="Bookman Old Style" w:hAnsi="Bookman Old Style" w:cs="Tahoma"/>
          <w:b/>
          <w:sz w:val="20"/>
          <w:szCs w:val="20"/>
        </w:rPr>
        <w:t xml:space="preserve">Филиал Федерального бюджетного учреждения здравоохранения "Центр </w:t>
      </w:r>
    </w:p>
    <w:p w:rsidR="00F5469E" w:rsidRDefault="00F5469E" w:rsidP="00F5469E">
      <w:pPr>
        <w:jc w:val="center"/>
        <w:rPr>
          <w:rFonts w:ascii="Bookman Old Style" w:hAnsi="Bookman Old Style" w:cs="Tahoma"/>
          <w:b/>
          <w:sz w:val="20"/>
          <w:szCs w:val="20"/>
        </w:rPr>
      </w:pPr>
      <w:r>
        <w:rPr>
          <w:rFonts w:ascii="Bookman Old Style" w:hAnsi="Bookman Old Style" w:cs="Tahoma"/>
          <w:b/>
          <w:sz w:val="20"/>
          <w:szCs w:val="20"/>
        </w:rPr>
        <w:t xml:space="preserve">гигиены и эпидемиологии в Ханты-Мансийском автономном округе - Югре </w:t>
      </w:r>
    </w:p>
    <w:p w:rsidR="00F5469E" w:rsidRDefault="00F5469E" w:rsidP="00F5469E">
      <w:pPr>
        <w:jc w:val="center"/>
        <w:rPr>
          <w:rFonts w:ascii="Bookman Old Style" w:hAnsi="Bookman Old Style" w:cs="Tahoma"/>
          <w:b/>
          <w:sz w:val="20"/>
          <w:szCs w:val="20"/>
        </w:rPr>
      </w:pPr>
      <w:r>
        <w:rPr>
          <w:rFonts w:ascii="Bookman Old Style" w:hAnsi="Bookman Old Style" w:cs="Tahoma"/>
          <w:b/>
          <w:sz w:val="20"/>
          <w:szCs w:val="20"/>
        </w:rPr>
        <w:t>в городе Лангепасе и в городе Покачи"</w:t>
      </w:r>
    </w:p>
    <w:tbl>
      <w:tblPr>
        <w:tblW w:w="0" w:type="auto"/>
        <w:tblLook w:val="01E0"/>
      </w:tblPr>
      <w:tblGrid>
        <w:gridCol w:w="868"/>
        <w:gridCol w:w="1180"/>
        <w:gridCol w:w="434"/>
        <w:gridCol w:w="1659"/>
        <w:gridCol w:w="2529"/>
        <w:gridCol w:w="2901"/>
      </w:tblGrid>
      <w:tr w:rsidR="00F5469E" w:rsidTr="00F5469E">
        <w:tc>
          <w:tcPr>
            <w:tcW w:w="10137" w:type="dxa"/>
            <w:gridSpan w:val="6"/>
            <w:vAlign w:val="center"/>
          </w:tcPr>
          <w:p w:rsidR="00F5469E" w:rsidRDefault="00F54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628672, Тюменская область, Ханты-Мансийский автономный округ – Югра, город Лангепас, ул. Ленина, дом 34</w:t>
            </w:r>
          </w:p>
          <w:p w:rsidR="00F5469E" w:rsidRDefault="00F5469E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тел</w:t>
            </w:r>
            <w:r>
              <w:rPr>
                <w:sz w:val="20"/>
                <w:szCs w:val="20"/>
                <w:lang w:val="en-US"/>
              </w:rPr>
              <w:t xml:space="preserve">: 8(34669) 2-05-92, 2-02-04, 2-69-88, e-mail: </w:t>
            </w:r>
            <w:r>
              <w:rPr>
                <w:sz w:val="20"/>
                <w:szCs w:val="20"/>
                <w:u w:val="single"/>
                <w:lang w:val="en-US"/>
              </w:rPr>
              <w:t>ff_6@xmao.su</w:t>
            </w:r>
          </w:p>
        </w:tc>
      </w:tr>
      <w:tr w:rsidR="00F5469E" w:rsidTr="00F5469E">
        <w:tc>
          <w:tcPr>
            <w:tcW w:w="10137" w:type="dxa"/>
            <w:gridSpan w:val="6"/>
            <w:vAlign w:val="center"/>
          </w:tcPr>
          <w:p w:rsidR="00F5469E" w:rsidRDefault="00F546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ОКПО </w:t>
            </w:r>
            <w:r>
              <w:rPr>
                <w:sz w:val="20"/>
                <w:szCs w:val="20"/>
                <w:lang w:val="en-US"/>
              </w:rPr>
              <w:t>92233083</w:t>
            </w:r>
            <w:r>
              <w:rPr>
                <w:sz w:val="20"/>
                <w:szCs w:val="20"/>
              </w:rPr>
              <w:t>, ОГРН 1058600003736, ИНН/КПП 8601024804/8607</w:t>
            </w:r>
            <w:r>
              <w:rPr>
                <w:sz w:val="20"/>
                <w:szCs w:val="20"/>
                <w:lang w:val="en-US"/>
              </w:rPr>
              <w:t>101001</w:t>
            </w:r>
          </w:p>
          <w:p w:rsidR="00F5469E" w:rsidRDefault="00F5469E">
            <w:pPr>
              <w:jc w:val="center"/>
              <w:rPr>
                <w:sz w:val="20"/>
                <w:szCs w:val="20"/>
              </w:rPr>
            </w:pPr>
          </w:p>
        </w:tc>
      </w:tr>
      <w:tr w:rsidR="005B5D02" w:rsidTr="00F5469E">
        <w:trPr>
          <w:trHeight w:val="284"/>
        </w:trPr>
        <w:tc>
          <w:tcPr>
            <w:tcW w:w="868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Исх.№</w:t>
            </w:r>
          </w:p>
        </w:tc>
        <w:tc>
          <w:tcPr>
            <w:tcW w:w="1238" w:type="dxa"/>
            <w:vAlign w:val="bottom"/>
          </w:tcPr>
          <w:p w:rsidR="00F5469E" w:rsidRDefault="00E24FAD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445</w:t>
            </w:r>
          </w:p>
        </w:tc>
        <w:tc>
          <w:tcPr>
            <w:tcW w:w="434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от</w:t>
            </w:r>
          </w:p>
        </w:tc>
        <w:tc>
          <w:tcPr>
            <w:tcW w:w="1681" w:type="dxa"/>
            <w:vAlign w:val="bottom"/>
          </w:tcPr>
          <w:p w:rsidR="00F5469E" w:rsidRDefault="006122FB" w:rsidP="006122FB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12.03.</w:t>
            </w:r>
            <w:r w:rsidR="005B5D02">
              <w:rPr>
                <w:rFonts w:ascii="Bookman Old Style" w:hAnsi="Bookman Old Style"/>
                <w:sz w:val="20"/>
                <w:szCs w:val="20"/>
              </w:rPr>
              <w:t>2019</w:t>
            </w:r>
            <w:r w:rsidR="00F5469E">
              <w:rPr>
                <w:rFonts w:ascii="Bookman Old Style" w:hAnsi="Bookman Old Style"/>
                <w:sz w:val="20"/>
                <w:szCs w:val="20"/>
              </w:rPr>
              <w:t>г</w:t>
            </w:r>
          </w:p>
        </w:tc>
        <w:tc>
          <w:tcPr>
            <w:tcW w:w="2754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62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5B5D02" w:rsidTr="00F5469E">
        <w:trPr>
          <w:trHeight w:val="284"/>
        </w:trPr>
        <w:tc>
          <w:tcPr>
            <w:tcW w:w="868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на</w:t>
            </w:r>
            <w:r>
              <w:rPr>
                <w:rFonts w:ascii="Bookman Old Style" w:hAnsi="Bookman Old Style"/>
                <w:sz w:val="20"/>
                <w:szCs w:val="20"/>
                <w:lang w:val="en-US"/>
              </w:rPr>
              <w:t> </w:t>
            </w:r>
            <w:r>
              <w:rPr>
                <w:rFonts w:ascii="Bookman Old Style" w:hAnsi="Bookman Old Style"/>
                <w:sz w:val="20"/>
                <w:szCs w:val="20"/>
              </w:rPr>
              <w:t>№</w:t>
            </w:r>
          </w:p>
        </w:tc>
        <w:tc>
          <w:tcPr>
            <w:tcW w:w="1238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434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от</w:t>
            </w:r>
          </w:p>
        </w:tc>
        <w:tc>
          <w:tcPr>
            <w:tcW w:w="1681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754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3162" w:type="dxa"/>
            <w:vAlign w:val="bottom"/>
          </w:tcPr>
          <w:p w:rsidR="00F5469E" w:rsidRDefault="00F5469E">
            <w:pPr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F5469E" w:rsidRDefault="00F5469E" w:rsidP="00F5469E">
      <w:pPr>
        <w:tabs>
          <w:tab w:val="left" w:pos="7010"/>
        </w:tabs>
        <w:rPr>
          <w:sz w:val="18"/>
        </w:rPr>
      </w:pPr>
    </w:p>
    <w:p w:rsidR="00F5469E" w:rsidRPr="00335EB8" w:rsidRDefault="00F5469E" w:rsidP="00F5469E">
      <w:pPr>
        <w:tabs>
          <w:tab w:val="left" w:pos="5350"/>
          <w:tab w:val="right" w:pos="9355"/>
        </w:tabs>
        <w:jc w:val="right"/>
        <w:rPr>
          <w:b/>
        </w:rPr>
      </w:pPr>
      <w:r>
        <w:t xml:space="preserve">        </w:t>
      </w:r>
      <w:r w:rsidRPr="00335EB8">
        <w:rPr>
          <w:b/>
        </w:rPr>
        <w:t xml:space="preserve"> Заместителю главы </w:t>
      </w:r>
      <w:r>
        <w:rPr>
          <w:b/>
        </w:rPr>
        <w:t xml:space="preserve">администрации </w:t>
      </w:r>
      <w:r w:rsidRPr="00335EB8">
        <w:rPr>
          <w:b/>
        </w:rPr>
        <w:t>г. Покачи                                                                                                                  по социальным вопросам</w:t>
      </w:r>
    </w:p>
    <w:p w:rsidR="00F5469E" w:rsidRDefault="00F5469E" w:rsidP="00F5469E">
      <w:pPr>
        <w:jc w:val="right"/>
        <w:rPr>
          <w:b/>
        </w:rPr>
      </w:pPr>
      <w:r w:rsidRPr="00335EB8">
        <w:rPr>
          <w:b/>
        </w:rPr>
        <w:t xml:space="preserve">                                   Гвоздь Г.Д.</w:t>
      </w:r>
    </w:p>
    <w:p w:rsidR="00F5469E" w:rsidRDefault="00F5469E" w:rsidP="00F5469E"/>
    <w:p w:rsidR="00102E78" w:rsidRDefault="00F5469E" w:rsidP="00F5469E">
      <w:pPr>
        <w:rPr>
          <w:sz w:val="22"/>
          <w:szCs w:val="22"/>
        </w:rPr>
      </w:pPr>
      <w:r w:rsidRPr="00F5469E">
        <w:rPr>
          <w:sz w:val="22"/>
          <w:szCs w:val="22"/>
        </w:rPr>
        <w:t>Материал для публикации на сайте</w:t>
      </w:r>
      <w:r w:rsidR="00102E78">
        <w:rPr>
          <w:sz w:val="22"/>
          <w:szCs w:val="22"/>
        </w:rPr>
        <w:t xml:space="preserve">, </w:t>
      </w:r>
    </w:p>
    <w:p w:rsidR="00F5469E" w:rsidRPr="00F5469E" w:rsidRDefault="00102E78" w:rsidP="00F5469E">
      <w:pPr>
        <w:rPr>
          <w:sz w:val="22"/>
          <w:szCs w:val="22"/>
        </w:rPr>
      </w:pPr>
      <w:r>
        <w:rPr>
          <w:sz w:val="22"/>
          <w:szCs w:val="22"/>
        </w:rPr>
        <w:t>других источниках</w:t>
      </w:r>
      <w:r w:rsidR="00F5469E" w:rsidRPr="00F5469E">
        <w:rPr>
          <w:sz w:val="22"/>
          <w:szCs w:val="22"/>
        </w:rPr>
        <w:t xml:space="preserve">   </w:t>
      </w:r>
    </w:p>
    <w:p w:rsidR="00F5469E" w:rsidRPr="00F5469E" w:rsidRDefault="00F5469E" w:rsidP="00F5469E">
      <w:pPr>
        <w:ind w:firstLine="697"/>
        <w:jc w:val="center"/>
        <w:rPr>
          <w:sz w:val="22"/>
          <w:szCs w:val="22"/>
        </w:rPr>
      </w:pPr>
    </w:p>
    <w:p w:rsidR="00F5469E" w:rsidRPr="00F5469E" w:rsidRDefault="00F5469E" w:rsidP="00F5469E">
      <w:pPr>
        <w:ind w:firstLine="697"/>
        <w:jc w:val="center"/>
        <w:rPr>
          <w:sz w:val="22"/>
          <w:szCs w:val="22"/>
        </w:rPr>
      </w:pPr>
      <w:r w:rsidRPr="00F5469E">
        <w:rPr>
          <w:sz w:val="22"/>
          <w:szCs w:val="22"/>
        </w:rPr>
        <w:t>Уважаемая Галина Дмитриевна!</w:t>
      </w:r>
    </w:p>
    <w:p w:rsidR="00F5469E" w:rsidRPr="00F5469E" w:rsidRDefault="00F5469E" w:rsidP="00F5469E">
      <w:pPr>
        <w:jc w:val="both"/>
        <w:rPr>
          <w:sz w:val="22"/>
          <w:szCs w:val="22"/>
        </w:rPr>
      </w:pPr>
      <w:r w:rsidRPr="00F5469E">
        <w:rPr>
          <w:sz w:val="22"/>
          <w:szCs w:val="22"/>
        </w:rPr>
        <w:t xml:space="preserve"> </w:t>
      </w:r>
      <w:r w:rsidRPr="00F5469E">
        <w:rPr>
          <w:sz w:val="22"/>
          <w:szCs w:val="22"/>
        </w:rPr>
        <w:tab/>
      </w:r>
    </w:p>
    <w:p w:rsidR="005B5D02" w:rsidRPr="003D1B6B" w:rsidRDefault="005B5D02" w:rsidP="005B5D02">
      <w:pPr>
        <w:jc w:val="both"/>
      </w:pPr>
    </w:p>
    <w:p w:rsidR="005B5D02" w:rsidRDefault="005B5D02" w:rsidP="005B5D02">
      <w:pPr>
        <w:jc w:val="both"/>
      </w:pPr>
      <w:r w:rsidRPr="003D1B6B">
        <w:t xml:space="preserve"> </w:t>
      </w:r>
      <w:r w:rsidRPr="003D1B6B">
        <w:tab/>
      </w:r>
      <w:r>
        <w:t>Ф</w:t>
      </w:r>
      <w:r w:rsidRPr="003D1B6B">
        <w:t xml:space="preserve">илиал ФБУЗ «Центр гигиены и эпидемиологии в ХМАО – Югре в г.Лангепас и г.Покачи» </w:t>
      </w:r>
      <w:r>
        <w:t>в связи с актуальностью тематики, проведения подведомственными учреждениями Роспотребнадзора «горячей линии»</w:t>
      </w:r>
      <w:r w:rsidRPr="008236A6">
        <w:t xml:space="preserve"> </w:t>
      </w:r>
      <w:r w:rsidR="006122FB">
        <w:t>по профилактике кори</w:t>
      </w:r>
      <w:r w:rsidRPr="003D1B6B">
        <w:t xml:space="preserve"> </w:t>
      </w:r>
      <w:r>
        <w:t xml:space="preserve">предлагает разместить </w:t>
      </w:r>
      <w:r w:rsidRPr="003D1B6B">
        <w:t xml:space="preserve">на официальном </w:t>
      </w:r>
      <w:r>
        <w:t>веб-</w:t>
      </w:r>
      <w:r w:rsidRPr="003D1B6B">
        <w:t xml:space="preserve">сайте </w:t>
      </w:r>
      <w:r>
        <w:t>администрации   г.</w:t>
      </w:r>
      <w:r w:rsidR="006122FB">
        <w:t>Покачи</w:t>
      </w:r>
      <w:r>
        <w:t>, а также на сайтах образовательных учреждений города</w:t>
      </w:r>
      <w:r w:rsidR="006122FB">
        <w:t>, газете «Покачевский вестник»</w:t>
      </w:r>
      <w:r>
        <w:t xml:space="preserve"> </w:t>
      </w:r>
      <w:r w:rsidRPr="003D1B6B">
        <w:t>следующие материалы</w:t>
      </w:r>
      <w:r>
        <w:t xml:space="preserve"> по данной тематике</w:t>
      </w:r>
      <w:r w:rsidRPr="003D1B6B">
        <w:t>:</w:t>
      </w:r>
    </w:p>
    <w:p w:rsidR="006122FB" w:rsidRDefault="006122FB" w:rsidP="006122FB">
      <w:pPr>
        <w:keepNext/>
        <w:numPr>
          <w:ilvl w:val="0"/>
          <w:numId w:val="2"/>
        </w:numPr>
        <w:spacing w:before="240" w:after="60"/>
        <w:jc w:val="both"/>
        <w:outlineLvl w:val="0"/>
        <w:rPr>
          <w:bCs/>
          <w:kern w:val="32"/>
          <w:sz w:val="22"/>
          <w:szCs w:val="22"/>
        </w:rPr>
      </w:pPr>
      <w:r>
        <w:rPr>
          <w:sz w:val="22"/>
          <w:szCs w:val="22"/>
        </w:rPr>
        <w:t>1. П</w:t>
      </w:r>
      <w:r w:rsidRPr="00787F62">
        <w:rPr>
          <w:sz w:val="22"/>
          <w:szCs w:val="22"/>
        </w:rPr>
        <w:t>амятку для населения о мерах профилактики кори</w:t>
      </w:r>
      <w:r>
        <w:rPr>
          <w:sz w:val="22"/>
          <w:szCs w:val="22"/>
        </w:rPr>
        <w:t>-</w:t>
      </w:r>
      <w:r w:rsidRPr="00787F62">
        <w:rPr>
          <w:sz w:val="22"/>
          <w:szCs w:val="22"/>
        </w:rPr>
        <w:t xml:space="preserve"> </w:t>
      </w:r>
      <w:r w:rsidRPr="00787F62">
        <w:rPr>
          <w:bCs/>
          <w:kern w:val="32"/>
          <w:sz w:val="22"/>
          <w:szCs w:val="22"/>
        </w:rPr>
        <w:t>«Летучий» вирус. Как предотвратить  распространение кори?(на 2 листах)</w:t>
      </w:r>
    </w:p>
    <w:p w:rsidR="006122FB" w:rsidRPr="00787F62" w:rsidRDefault="006122FB" w:rsidP="006122FB">
      <w:pPr>
        <w:keepNext/>
        <w:numPr>
          <w:ilvl w:val="0"/>
          <w:numId w:val="2"/>
        </w:numPr>
        <w:spacing w:before="240" w:after="60"/>
        <w:jc w:val="both"/>
        <w:outlineLvl w:val="0"/>
        <w:rPr>
          <w:bCs/>
          <w:kern w:val="32"/>
          <w:sz w:val="22"/>
          <w:szCs w:val="22"/>
        </w:rPr>
      </w:pPr>
      <w:r>
        <w:rPr>
          <w:bCs/>
          <w:kern w:val="32"/>
          <w:sz w:val="22"/>
          <w:szCs w:val="22"/>
        </w:rPr>
        <w:t xml:space="preserve"> 2. Буклет «КОРЬ – симптомы и профилактика»(на 1 листе)</w:t>
      </w:r>
    </w:p>
    <w:p w:rsidR="006122FB" w:rsidRDefault="006122FB" w:rsidP="006122FB">
      <w:pPr>
        <w:pStyle w:val="a5"/>
        <w:ind w:left="360"/>
        <w:rPr>
          <w:noProof/>
        </w:rPr>
      </w:pPr>
    </w:p>
    <w:p w:rsidR="00102E78" w:rsidRDefault="00102E78" w:rsidP="00102E78">
      <w:pPr>
        <w:pStyle w:val="a3"/>
        <w:spacing w:after="0"/>
        <w:jc w:val="center"/>
        <w:rPr>
          <w:b/>
          <w:bCs/>
        </w:rPr>
      </w:pPr>
    </w:p>
    <w:p w:rsidR="00102E78" w:rsidRDefault="00102E78" w:rsidP="00102E78">
      <w:pPr>
        <w:pStyle w:val="a3"/>
        <w:spacing w:after="0"/>
        <w:jc w:val="center"/>
        <w:rPr>
          <w:b/>
          <w:bCs/>
        </w:rPr>
      </w:pPr>
    </w:p>
    <w:p w:rsidR="00102E78" w:rsidRDefault="00102E78" w:rsidP="00102E78">
      <w:pPr>
        <w:jc w:val="center"/>
        <w:rPr>
          <w:b/>
          <w:bCs/>
        </w:rPr>
      </w:pPr>
      <w:r>
        <w:rPr>
          <w:b/>
          <w:bCs/>
        </w:rPr>
        <w:t>И.О. Главного врача                                                      С.А. Агапкин</w:t>
      </w:r>
    </w:p>
    <w:p w:rsidR="00F5469E" w:rsidRPr="00F5469E" w:rsidRDefault="00F5469E" w:rsidP="00F5469E">
      <w:pPr>
        <w:ind w:firstLine="697"/>
        <w:jc w:val="both"/>
        <w:rPr>
          <w:sz w:val="22"/>
          <w:szCs w:val="22"/>
        </w:rPr>
      </w:pPr>
    </w:p>
    <w:p w:rsidR="00F5469E" w:rsidRPr="00F5469E" w:rsidRDefault="00F5469E" w:rsidP="00F5469E">
      <w:pPr>
        <w:jc w:val="center"/>
        <w:rPr>
          <w:sz w:val="22"/>
          <w:szCs w:val="22"/>
        </w:rPr>
      </w:pPr>
    </w:p>
    <w:p w:rsidR="00F5469E" w:rsidRDefault="00F5469E" w:rsidP="00F5469E">
      <w:pPr>
        <w:pStyle w:val="a3"/>
        <w:spacing w:after="0"/>
        <w:jc w:val="center"/>
        <w:rPr>
          <w:b/>
          <w:bCs/>
        </w:rPr>
      </w:pPr>
    </w:p>
    <w:p w:rsidR="00F5469E" w:rsidRDefault="00F5469E" w:rsidP="00F5469E">
      <w:pPr>
        <w:pStyle w:val="a3"/>
        <w:spacing w:after="0"/>
        <w:jc w:val="center"/>
        <w:rPr>
          <w:b/>
          <w:bCs/>
        </w:rPr>
      </w:pPr>
    </w:p>
    <w:p w:rsidR="00F5469E" w:rsidRDefault="00F5469E" w:rsidP="00F5469E">
      <w:pPr>
        <w:tabs>
          <w:tab w:val="left" w:pos="8130"/>
        </w:tabs>
        <w:rPr>
          <w:bCs/>
          <w:sz w:val="16"/>
          <w:szCs w:val="16"/>
        </w:rPr>
      </w:pPr>
    </w:p>
    <w:p w:rsidR="00F5469E" w:rsidRDefault="00F5469E" w:rsidP="00F5469E">
      <w:pPr>
        <w:tabs>
          <w:tab w:val="left" w:pos="8130"/>
        </w:tabs>
        <w:rPr>
          <w:bCs/>
          <w:sz w:val="16"/>
          <w:szCs w:val="16"/>
        </w:rPr>
      </w:pPr>
    </w:p>
    <w:p w:rsidR="00F5469E" w:rsidRDefault="00F5469E" w:rsidP="00F5469E">
      <w:pPr>
        <w:tabs>
          <w:tab w:val="left" w:pos="8130"/>
        </w:tabs>
        <w:rPr>
          <w:bCs/>
          <w:sz w:val="16"/>
          <w:szCs w:val="16"/>
        </w:rPr>
      </w:pPr>
      <w:r>
        <w:rPr>
          <w:bCs/>
          <w:sz w:val="16"/>
          <w:szCs w:val="16"/>
        </w:rPr>
        <w:t>Исполнитель:</w:t>
      </w:r>
      <w:r>
        <w:rPr>
          <w:bCs/>
          <w:sz w:val="16"/>
          <w:szCs w:val="16"/>
        </w:rPr>
        <w:tab/>
      </w:r>
    </w:p>
    <w:p w:rsidR="00F5469E" w:rsidRDefault="00F5469E" w:rsidP="00F5469E">
      <w:pPr>
        <w:pStyle w:val="a4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Царева Татьяна Петровна, </w:t>
      </w:r>
    </w:p>
    <w:p w:rsidR="00F5469E" w:rsidRDefault="00F5469E" w:rsidP="00F5469E">
      <w:pPr>
        <w:pStyle w:val="a4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8(34669)25634  </w:t>
      </w: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6122FB">
      <w:pPr>
        <w:pStyle w:val="a4"/>
        <w:jc w:val="left"/>
        <w:rPr>
          <w:sz w:val="18"/>
          <w:szCs w:val="18"/>
        </w:rPr>
      </w:pPr>
    </w:p>
    <w:p w:rsidR="006122FB" w:rsidRDefault="006122FB" w:rsidP="006122FB">
      <w:pPr>
        <w:pStyle w:val="a4"/>
        <w:jc w:val="left"/>
        <w:rPr>
          <w:sz w:val="18"/>
          <w:szCs w:val="18"/>
        </w:rPr>
      </w:pPr>
    </w:p>
    <w:p w:rsidR="006122FB" w:rsidRDefault="006122FB" w:rsidP="006122FB">
      <w:pPr>
        <w:pStyle w:val="a4"/>
        <w:jc w:val="left"/>
        <w:rPr>
          <w:sz w:val="18"/>
          <w:szCs w:val="18"/>
        </w:rPr>
      </w:pPr>
    </w:p>
    <w:p w:rsidR="006122FB" w:rsidRDefault="006122FB" w:rsidP="006122FB">
      <w:pPr>
        <w:pStyle w:val="a4"/>
        <w:jc w:val="left"/>
        <w:rPr>
          <w:sz w:val="18"/>
          <w:szCs w:val="18"/>
        </w:rPr>
      </w:pPr>
    </w:p>
    <w:p w:rsidR="006122FB" w:rsidRPr="00E260B4" w:rsidRDefault="00590FBE" w:rsidP="006122FB">
      <w:pPr>
        <w:pStyle w:val="a4"/>
        <w:rPr>
          <w:b/>
          <w:sz w:val="22"/>
          <w:szCs w:val="22"/>
        </w:rPr>
      </w:pPr>
      <w:r>
        <w:rPr>
          <w:noProof/>
        </w:rPr>
        <w:drawing>
          <wp:anchor distT="142875" distB="142875" distL="142875" distR="142875" simplePos="0" relativeHeight="251657728" behindDoc="0" locked="0" layoutInCell="1" allowOverlap="0">
            <wp:simplePos x="0" y="0"/>
            <wp:positionH relativeFrom="column">
              <wp:posOffset>-775335</wp:posOffset>
            </wp:positionH>
            <wp:positionV relativeFrom="line">
              <wp:posOffset>-415290</wp:posOffset>
            </wp:positionV>
            <wp:extent cx="2857500" cy="1847850"/>
            <wp:effectExtent l="19050" t="0" r="0" b="0"/>
            <wp:wrapSquare wrapText="bothSides"/>
            <wp:docPr id="3" name="Рисунок 1" descr="кор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р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2FB" w:rsidRPr="00E260B4">
        <w:rPr>
          <w:b/>
          <w:sz w:val="22"/>
          <w:szCs w:val="22"/>
        </w:rPr>
        <w:t>памятка для населения</w:t>
      </w:r>
    </w:p>
    <w:p w:rsidR="006122FB" w:rsidRPr="009E6135" w:rsidRDefault="006122FB" w:rsidP="006122FB">
      <w:pPr>
        <w:keepNext/>
        <w:spacing w:before="240" w:after="60"/>
        <w:jc w:val="both"/>
        <w:outlineLvl w:val="0"/>
        <w:rPr>
          <w:rFonts w:ascii="Verdana" w:hAnsi="Verdana" w:cs="Arial"/>
          <w:b/>
          <w:bCs/>
          <w:color w:val="FF0000"/>
          <w:kern w:val="32"/>
        </w:rPr>
      </w:pPr>
      <w:r w:rsidRPr="009E6135">
        <w:rPr>
          <w:rFonts w:ascii="Verdana" w:hAnsi="Verdana" w:cs="Arial"/>
          <w:b/>
          <w:bCs/>
          <w:color w:val="FF0000"/>
          <w:kern w:val="32"/>
        </w:rPr>
        <w:t>«Летучий» вирус. Как предотвратить  распространение кори?</w:t>
      </w:r>
    </w:p>
    <w:p w:rsidR="006122FB" w:rsidRPr="007B0C24" w:rsidRDefault="006122FB" w:rsidP="006122FB">
      <w:pPr>
        <w:pStyle w:val="a7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В 2018г в мире продолжилась регистрация вспышек кори среди  детей и взрослых в странах Европейского региона (Греция, Грузия, Италия, Франция, Сербия, Украина, Российская Федерация). Больше всего пострадали Украина, Сербия, где регистрируются случаи смерти, связанные с этой болезнью. </w:t>
      </w:r>
    </w:p>
    <w:p w:rsidR="006122FB" w:rsidRPr="007B0C24" w:rsidRDefault="006122FB" w:rsidP="006122FB">
      <w:pPr>
        <w:pStyle w:val="a7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>По оценкам ВОЗ, в 2017 г. корь стала причиной 100 тыс. случаев смертей в мире, в основном среди детей в возрасте до 5 лет.</w:t>
      </w:r>
    </w:p>
    <w:p w:rsidR="006122FB" w:rsidRPr="007B0C24" w:rsidRDefault="006122FB" w:rsidP="006122FB">
      <w:pPr>
        <w:pStyle w:val="a7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В регионах, где корь в значительной мере ликвидирована, существенным источником инфекции являются случаи заболевания, ввезенные из других стран, остаются. Ежегодно регистрируются завозные случаи заболеваний в ХМАО-Югре. </w:t>
      </w:r>
    </w:p>
    <w:p w:rsidR="006122FB" w:rsidRPr="007B0C24" w:rsidRDefault="006122FB" w:rsidP="006122FB">
      <w:pPr>
        <w:pStyle w:val="a7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>В 2000-2016 гг. вакцинация от кори предотвратила, по оценкам ВОЗ, 20,4 миллиона случаев смерти, сделав вакцину от кори одним из наиболее выгодных достижений общественного здравоохранения.</w:t>
      </w:r>
    </w:p>
    <w:p w:rsidR="006122FB" w:rsidRPr="007B0C24" w:rsidRDefault="006122FB" w:rsidP="006122FB">
      <w:pPr>
        <w:pStyle w:val="a7"/>
        <w:numPr>
          <w:ilvl w:val="0"/>
          <w:numId w:val="4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bCs/>
          <w:sz w:val="20"/>
          <w:szCs w:val="20"/>
        </w:rPr>
        <w:t>ВОЗ разработан «Глобальный стратегический план по борьбе против кори и краснухи на 2012-2020 гг.». Его ц</w:t>
      </w:r>
      <w:r w:rsidRPr="007B0C24">
        <w:rPr>
          <w:rFonts w:ascii="Verdana" w:hAnsi="Verdana"/>
          <w:sz w:val="20"/>
          <w:szCs w:val="20"/>
        </w:rPr>
        <w:t xml:space="preserve">елью является: сокращение числа случаев смерти от кори и элиминация кори и синдрома врожденной краснухи (СВК)  в пяти регионах ВОЗ. </w:t>
      </w:r>
    </w:p>
    <w:p w:rsidR="006122FB" w:rsidRPr="007B0C24" w:rsidRDefault="006122FB" w:rsidP="006122FB">
      <w:pPr>
        <w:pStyle w:val="a7"/>
        <w:jc w:val="both"/>
        <w:rPr>
          <w:rFonts w:ascii="Verdana" w:hAnsi="Verdana"/>
          <w:b/>
          <w:sz w:val="20"/>
          <w:szCs w:val="20"/>
        </w:rPr>
      </w:pPr>
    </w:p>
    <w:p w:rsidR="006122FB" w:rsidRPr="009E6135" w:rsidRDefault="006122FB" w:rsidP="006122FB">
      <w:pPr>
        <w:pStyle w:val="a7"/>
        <w:jc w:val="both"/>
        <w:rPr>
          <w:rFonts w:ascii="Verdana" w:hAnsi="Verdana"/>
          <w:b/>
          <w:color w:val="FF0000"/>
          <w:sz w:val="20"/>
          <w:szCs w:val="20"/>
        </w:rPr>
      </w:pPr>
      <w:r w:rsidRPr="009E6135">
        <w:rPr>
          <w:rFonts w:ascii="Verdana" w:hAnsi="Verdana"/>
          <w:b/>
          <w:color w:val="FF0000"/>
          <w:sz w:val="20"/>
          <w:szCs w:val="20"/>
        </w:rPr>
        <w:t>Особенности вируса кори. Группы риска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Корь является одной из самых заразных болезней в мире. Характерна 100% восприимчивость к заболеванию после контакта с больным человеком. Заразиться корью может любой человек, не имеющий иммунитета — тот, кто не был вакцинирован или тот, кто не выработал иммунитет после вакцинации. 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bCs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>Причинами заражения корью в мире являются: активизация вируса кори, активные миграционные потоки, пробелы в иммунизации с накоплением прослойки непривитого населения  групп риска(мигранты, кочующее население, религиозные сообщества, отказывающиеся от иммунизации)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Вирус очень летуч,  известны случаи его распространения по вентиляционной системе многоэтажных зданий, вызывая заболевания. 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>Вирус кори передается воздушно-капельным путем со слюной при разговоре, кашле, чихании. В воздухе, на поверхностях вирус остается заразным в течение 2 часов. Самый заразный период -за 4 дня до появления у больного сыпи и 4 дня после ее появления.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>Самому высокому риску заболевания корью и развития осложнений, включая смертельный исход подвергаются не вакцинированные против кори дети раннего возраста(до 1года)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Не вакцинированные беременные женщины также подвергаются высокому риску заражения, развитием внутриутробных поражений плода. </w:t>
      </w:r>
    </w:p>
    <w:p w:rsidR="006122FB" w:rsidRPr="007B0C24" w:rsidRDefault="006122FB" w:rsidP="006122FB">
      <w:pPr>
        <w:pStyle w:val="a7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7B0C24">
        <w:rPr>
          <w:rFonts w:ascii="Verdana" w:hAnsi="Verdana"/>
          <w:sz w:val="20"/>
          <w:szCs w:val="20"/>
        </w:rPr>
        <w:t xml:space="preserve">После перенесенного заболевания у человека в отношении этой болезни формируется пожизненный иммунитет, повторные случаи заболевания не встречаются. </w:t>
      </w:r>
    </w:p>
    <w:p w:rsidR="006122FB" w:rsidRPr="007B0C24" w:rsidRDefault="006122FB" w:rsidP="006122FB">
      <w:pPr>
        <w:pStyle w:val="a7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pStyle w:val="a5"/>
        <w:tabs>
          <w:tab w:val="left" w:pos="4140"/>
        </w:tabs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bCs/>
          <w:color w:val="FF0000"/>
          <w:sz w:val="20"/>
          <w:szCs w:val="20"/>
        </w:rPr>
        <w:t>Как распознать корь?</w:t>
      </w:r>
      <w:r w:rsidRPr="009E6135">
        <w:rPr>
          <w:rFonts w:ascii="Verdana" w:hAnsi="Verdana"/>
          <w:color w:val="FF0000"/>
          <w:sz w:val="20"/>
          <w:szCs w:val="20"/>
        </w:rPr>
        <w:t xml:space="preserve"> </w:t>
      </w:r>
      <w:r w:rsidRPr="009E6135">
        <w:rPr>
          <w:rFonts w:ascii="Verdana" w:hAnsi="Verdana"/>
          <w:color w:val="FF0000"/>
          <w:sz w:val="20"/>
          <w:szCs w:val="20"/>
        </w:rPr>
        <w:br/>
      </w:r>
      <w:r w:rsidRPr="003D6B92">
        <w:rPr>
          <w:rFonts w:ascii="Verdana" w:hAnsi="Verdana"/>
          <w:sz w:val="20"/>
          <w:szCs w:val="20"/>
        </w:rPr>
        <w:t xml:space="preserve"> Инкубационный период от заражения до первых симптомов длится от одной  до 2-3 </w:t>
      </w:r>
      <w:r>
        <w:rPr>
          <w:rFonts w:ascii="Verdana" w:hAnsi="Verdana"/>
          <w:sz w:val="20"/>
          <w:szCs w:val="20"/>
        </w:rPr>
        <w:t xml:space="preserve"> недель.</w:t>
      </w:r>
    </w:p>
    <w:p w:rsidR="006122FB" w:rsidRPr="003D6B92" w:rsidRDefault="006122FB" w:rsidP="006122FB">
      <w:pPr>
        <w:pStyle w:val="a5"/>
        <w:numPr>
          <w:ilvl w:val="0"/>
          <w:numId w:val="3"/>
        </w:numPr>
        <w:tabs>
          <w:tab w:val="left" w:pos="4140"/>
        </w:tabs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sz w:val="20"/>
          <w:szCs w:val="20"/>
        </w:rPr>
        <w:t>Типичное проявление кори-  это мелкоточечная сыпь на бледной коже, интоксикация (температура тела 38* и выше).</w:t>
      </w:r>
    </w:p>
    <w:p w:rsidR="006122FB" w:rsidRDefault="006122FB" w:rsidP="006122FB">
      <w:pPr>
        <w:pStyle w:val="a5"/>
        <w:numPr>
          <w:ilvl w:val="0"/>
          <w:numId w:val="3"/>
        </w:numPr>
        <w:tabs>
          <w:tab w:val="left" w:pos="4140"/>
        </w:tabs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sz w:val="20"/>
          <w:szCs w:val="20"/>
        </w:rPr>
        <w:lastRenderedPageBreak/>
        <w:t>Но на первоначальном этапе у больного лишь общие симптомы ОРВИ: кашель; температура до 38*С и выше; насморк; слабость; отсутствие аппетита; конъю</w:t>
      </w:r>
      <w:r>
        <w:rPr>
          <w:rFonts w:ascii="Verdana" w:hAnsi="Verdana"/>
          <w:sz w:val="20"/>
          <w:szCs w:val="20"/>
        </w:rPr>
        <w:t xml:space="preserve">нктивит (в некоторых случаях). </w:t>
      </w:r>
    </w:p>
    <w:p w:rsidR="006122FB" w:rsidRPr="003D6B92" w:rsidRDefault="006122FB" w:rsidP="006122FB">
      <w:pPr>
        <w:pStyle w:val="a5"/>
        <w:numPr>
          <w:ilvl w:val="0"/>
          <w:numId w:val="3"/>
        </w:numPr>
        <w:tabs>
          <w:tab w:val="left" w:pos="4140"/>
        </w:tabs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sz w:val="20"/>
          <w:szCs w:val="20"/>
        </w:rPr>
        <w:t>Характерная сыпь появляется лишь на 3-4 день заболевания.</w:t>
      </w:r>
      <w:r w:rsidRPr="003D6B92">
        <w:rPr>
          <w:rFonts w:ascii="Verdana" w:hAnsi="Verdana"/>
          <w:b/>
          <w:sz w:val="20"/>
          <w:szCs w:val="20"/>
        </w:rPr>
        <w:t xml:space="preserve">  </w:t>
      </w:r>
      <w:r w:rsidRPr="003D6B92">
        <w:rPr>
          <w:rFonts w:ascii="Verdana" w:hAnsi="Verdana"/>
          <w:sz w:val="20"/>
          <w:szCs w:val="20"/>
        </w:rPr>
        <w:t>К этому времени больной успевает заразить большие массы людей, распространяя инфекцию.</w:t>
      </w:r>
      <w:r>
        <w:rPr>
          <w:rFonts w:ascii="Verdana" w:hAnsi="Verdana"/>
          <w:sz w:val="20"/>
          <w:szCs w:val="20"/>
        </w:rPr>
        <w:t xml:space="preserve"> </w:t>
      </w:r>
      <w:r w:rsidRPr="003D6B92">
        <w:rPr>
          <w:rFonts w:ascii="Verdana" w:hAnsi="Verdana"/>
          <w:sz w:val="20"/>
          <w:szCs w:val="20"/>
        </w:rPr>
        <w:t>Характерна также этапность появления сыпи: сначала на лице- за ушами и на лбу, потом туловище и конечности, далее-  по всему телу. Диагностическим признаком также является появление мелких белых пятен на слизистой внутренней поверхности щек(пятна Бельского – Филатова)</w:t>
      </w:r>
    </w:p>
    <w:p w:rsidR="006122FB" w:rsidRPr="003D6B92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sz w:val="20"/>
          <w:szCs w:val="20"/>
        </w:rPr>
        <w:t xml:space="preserve">Сыпь держится до недели, а потом проходит, оставляя пигментацию до 14 дней. </w:t>
      </w:r>
      <w:r w:rsidRPr="003D6B92">
        <w:rPr>
          <w:rFonts w:ascii="Verdana" w:hAnsi="Verdana"/>
          <w:sz w:val="20"/>
          <w:szCs w:val="20"/>
        </w:rPr>
        <w:br/>
      </w:r>
    </w:p>
    <w:p w:rsidR="006122FB" w:rsidRPr="003D6B92" w:rsidRDefault="006122FB" w:rsidP="006122FB">
      <w:pPr>
        <w:pStyle w:val="a5"/>
        <w:spacing w:before="100" w:beforeAutospacing="1" w:after="100" w:afterAutospacing="1"/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b/>
          <w:bCs/>
          <w:color w:val="FF0000"/>
          <w:sz w:val="20"/>
          <w:szCs w:val="20"/>
        </w:rPr>
        <w:t>Осложнения после кори</w:t>
      </w:r>
      <w:r w:rsidRPr="003D6B92">
        <w:rPr>
          <w:rFonts w:ascii="Verdana" w:hAnsi="Verdana"/>
          <w:color w:val="FF0000"/>
          <w:sz w:val="20"/>
          <w:szCs w:val="20"/>
        </w:rPr>
        <w:t xml:space="preserve"> </w:t>
      </w:r>
      <w:r w:rsidRPr="003D6B92">
        <w:rPr>
          <w:rFonts w:ascii="Verdana" w:hAnsi="Verdana"/>
          <w:color w:val="FF0000"/>
          <w:sz w:val="20"/>
          <w:szCs w:val="20"/>
        </w:rPr>
        <w:br/>
      </w:r>
      <w:r w:rsidRPr="003D6B92">
        <w:rPr>
          <w:rFonts w:ascii="Verdana" w:hAnsi="Verdana"/>
          <w:sz w:val="20"/>
          <w:szCs w:val="20"/>
        </w:rPr>
        <w:t>Корь опасна быстрым распространением и развитием тяжелых осложнений, приводящих  к смертельному исходу.</w:t>
      </w:r>
    </w:p>
    <w:p w:rsidR="006122FB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sz w:val="20"/>
          <w:szCs w:val="20"/>
        </w:rPr>
        <w:t xml:space="preserve">Чаще осложнения развиваются у детей до 5 лет или у взрослых  старше 20 лет. Самые серьезные осложнения включают слепоту, энцефалит (инфекцию, приводящую к отеку головного мозга), тяжелую диарею и связанную с ней дегидратацию, ушные инфекции и тяжелые инфекции дыхательных путей, такие как </w:t>
      </w:r>
      <w:r>
        <w:rPr>
          <w:rFonts w:ascii="Verdana" w:hAnsi="Verdana"/>
          <w:sz w:val="20"/>
          <w:szCs w:val="20"/>
        </w:rPr>
        <w:t xml:space="preserve">коревая </w:t>
      </w:r>
      <w:r w:rsidRPr="003D6B92">
        <w:rPr>
          <w:rFonts w:ascii="Verdana" w:hAnsi="Verdana"/>
          <w:sz w:val="20"/>
          <w:szCs w:val="20"/>
        </w:rPr>
        <w:t xml:space="preserve">пневмония. Тяжелое течение кори вероятно среди плохо питающихся детей младшего возраста, </w:t>
      </w:r>
      <w:r>
        <w:rPr>
          <w:rFonts w:ascii="Verdana" w:hAnsi="Verdana"/>
          <w:sz w:val="20"/>
          <w:szCs w:val="20"/>
        </w:rPr>
        <w:t xml:space="preserve">лиц с иммунодефицитом, в т.ч. </w:t>
      </w:r>
      <w:r w:rsidRPr="003D6B92">
        <w:rPr>
          <w:rFonts w:ascii="Verdana" w:hAnsi="Verdana"/>
          <w:sz w:val="20"/>
          <w:szCs w:val="20"/>
        </w:rPr>
        <w:t xml:space="preserve">ВИЧ/СПИДом или другими болезнями. </w:t>
      </w:r>
    </w:p>
    <w:p w:rsidR="006122FB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3D6B92">
        <w:rPr>
          <w:rFonts w:ascii="Verdana" w:hAnsi="Verdana"/>
          <w:sz w:val="20"/>
          <w:szCs w:val="20"/>
        </w:rPr>
        <w:t xml:space="preserve">Риску развития тяжелых осложнений подвергаются </w:t>
      </w:r>
      <w:r>
        <w:rPr>
          <w:rFonts w:ascii="Verdana" w:hAnsi="Verdana"/>
          <w:sz w:val="20"/>
          <w:szCs w:val="20"/>
        </w:rPr>
        <w:t xml:space="preserve">заразившиемся корью </w:t>
      </w:r>
      <w:r w:rsidRPr="003D6B92">
        <w:rPr>
          <w:rFonts w:ascii="Verdana" w:hAnsi="Verdana"/>
          <w:sz w:val="20"/>
          <w:szCs w:val="20"/>
        </w:rPr>
        <w:t>инфицированные женщины во время беременности, а беременность может заканчиваться самопроизвольным абортом или преждевременными родами.</w:t>
      </w:r>
    </w:p>
    <w:p w:rsidR="006122FB" w:rsidRPr="009E6135" w:rsidRDefault="006122FB" w:rsidP="006122FB">
      <w:pPr>
        <w:pStyle w:val="a5"/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 xml:space="preserve"> </w:t>
      </w:r>
    </w:p>
    <w:p w:rsidR="006122FB" w:rsidRPr="009E6135" w:rsidRDefault="006122FB" w:rsidP="006122FB">
      <w:pPr>
        <w:pStyle w:val="a5"/>
        <w:tabs>
          <w:tab w:val="left" w:pos="4140"/>
        </w:tabs>
        <w:jc w:val="both"/>
        <w:rPr>
          <w:rFonts w:ascii="Verdana" w:hAnsi="Verdana"/>
          <w:b/>
          <w:color w:val="FF0000"/>
          <w:sz w:val="20"/>
          <w:szCs w:val="20"/>
        </w:rPr>
      </w:pPr>
      <w:r w:rsidRPr="009E6135">
        <w:rPr>
          <w:rFonts w:ascii="Verdana" w:hAnsi="Verdana"/>
          <w:b/>
          <w:color w:val="FF0000"/>
          <w:sz w:val="20"/>
          <w:szCs w:val="20"/>
        </w:rPr>
        <w:t>Лечение.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tabs>
          <w:tab w:val="left" w:pos="4140"/>
        </w:tabs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>Какого-либо специального лечения, направленного против вируса кори, не существует. Лечение больного корью должно проводиться в изолированной палате под строгим контролем врача  инфекциониста или педиатра. Для предупреждения тяжелых осложнений обеспечивается поддерживающей терапии, хорошим  питанием, введение жидкостей с помощью регидратационных растворов.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tabs>
          <w:tab w:val="left" w:pos="4140"/>
        </w:tabs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 xml:space="preserve">У людей, переболевших корью, вырабатывается иммунитет против нее на всю оставшуюся жизнь. </w:t>
      </w:r>
    </w:p>
    <w:p w:rsidR="006122FB" w:rsidRPr="009E6135" w:rsidRDefault="006122FB" w:rsidP="006122FB">
      <w:pPr>
        <w:pStyle w:val="a5"/>
        <w:spacing w:before="100" w:beforeAutospacing="1" w:after="100" w:afterAutospacing="1"/>
        <w:jc w:val="both"/>
        <w:rPr>
          <w:rFonts w:ascii="Verdana" w:hAnsi="Verdana"/>
          <w:sz w:val="20"/>
          <w:szCs w:val="20"/>
        </w:rPr>
      </w:pPr>
    </w:p>
    <w:p w:rsidR="006122FB" w:rsidRPr="009E6135" w:rsidRDefault="006122FB" w:rsidP="006122FB">
      <w:pPr>
        <w:pStyle w:val="a5"/>
        <w:tabs>
          <w:tab w:val="left" w:pos="4140"/>
        </w:tabs>
        <w:jc w:val="both"/>
        <w:rPr>
          <w:rFonts w:ascii="Verdana" w:hAnsi="Verdana"/>
          <w:b/>
          <w:color w:val="FF0000"/>
          <w:sz w:val="20"/>
          <w:szCs w:val="20"/>
        </w:rPr>
      </w:pPr>
      <w:r w:rsidRPr="009E6135">
        <w:rPr>
          <w:rFonts w:ascii="Verdana" w:hAnsi="Verdana"/>
          <w:b/>
          <w:color w:val="FF0000"/>
          <w:sz w:val="20"/>
          <w:szCs w:val="20"/>
        </w:rPr>
        <w:t xml:space="preserve">Профилактика кори- ИММУНИЗАЦИЯ 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 xml:space="preserve">Регулярная вакцинация детей и взрослых против кори является основными стратегиями здравоохранения, направленными на уменьшение распространения и глобальной смертности от кори. Противокоревая вакцина используется на протяжении более 50 лет. Она безопасна, эффективна и доступна. 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>В Российской Федерации иммунизация проводится в плановом порядке в соответствии с Национальным календарем профилактических прививок, а также по эпидемическим показаниям при регистрации случаев кори: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spacing w:before="100" w:beforeAutospacing="1" w:after="100" w:afterAutospacing="1"/>
        <w:jc w:val="both"/>
        <w:outlineLvl w:val="1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sz w:val="20"/>
          <w:szCs w:val="20"/>
        </w:rPr>
        <w:t xml:space="preserve">ДЕТИ: </w:t>
      </w:r>
      <w:r w:rsidRPr="009E6135">
        <w:rPr>
          <w:rFonts w:ascii="Verdana" w:hAnsi="Verdana"/>
          <w:sz w:val="20"/>
          <w:szCs w:val="20"/>
        </w:rPr>
        <w:t xml:space="preserve">первую прививку против кори в возрасте 1 год часто объединяют с вакцинами против краснухи и/или свинки. Повторная ревакцинация – в 6 лет. </w:t>
      </w:r>
      <w:r w:rsidRPr="009E6135">
        <w:rPr>
          <w:rFonts w:ascii="Verdana" w:hAnsi="Verdana"/>
          <w:sz w:val="20"/>
          <w:szCs w:val="20"/>
        </w:rPr>
        <w:br/>
      </w:r>
      <w:r w:rsidRPr="009E6135">
        <w:rPr>
          <w:rFonts w:ascii="Verdana" w:hAnsi="Verdana"/>
          <w:b/>
          <w:sz w:val="20"/>
          <w:szCs w:val="20"/>
        </w:rPr>
        <w:t xml:space="preserve">ВЗРОСЛЫЕ с 18 до 35 летнего возраста: </w:t>
      </w:r>
      <w:r w:rsidRPr="009E6135">
        <w:rPr>
          <w:rFonts w:ascii="Verdana" w:hAnsi="Verdana"/>
          <w:sz w:val="20"/>
          <w:szCs w:val="20"/>
        </w:rPr>
        <w:t>проводится иммунизация:- не болевшим корью, привитым  однократно, без сведений о прививках.</w:t>
      </w:r>
    </w:p>
    <w:p w:rsidR="006122FB" w:rsidRPr="009E6135" w:rsidRDefault="006122FB" w:rsidP="006122FB">
      <w:pPr>
        <w:pStyle w:val="a5"/>
        <w:numPr>
          <w:ilvl w:val="0"/>
          <w:numId w:val="3"/>
        </w:numPr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sz w:val="20"/>
          <w:szCs w:val="20"/>
        </w:rPr>
        <w:t>ВЗРОСЛЫЕ от 36 до 55 лет лиц групп риска</w:t>
      </w:r>
      <w:r w:rsidRPr="009E6135">
        <w:rPr>
          <w:rFonts w:ascii="Verdana" w:hAnsi="Verdana"/>
          <w:sz w:val="20"/>
          <w:szCs w:val="20"/>
        </w:rPr>
        <w:t>: (работники медицинских и образовательных организаций, организаций торговли, транспорта, коммунальной и социальной сферы; лица, работающие вахтовым методом, сотрудники государственных контрольных органов в пунктах пропуска через государственную границу РФ) проводится иммунизация: не болевшим корью, не привитым, привитым однократно, не имеющим сведений о прививках против кори.</w:t>
      </w:r>
    </w:p>
    <w:p w:rsidR="006122FB" w:rsidRPr="009E6135" w:rsidRDefault="006122FB" w:rsidP="006122FB">
      <w:pPr>
        <w:rPr>
          <w:rFonts w:ascii="Verdana" w:hAnsi="Verdana"/>
          <w:b/>
          <w:color w:val="FF0000"/>
          <w:sz w:val="20"/>
          <w:szCs w:val="20"/>
        </w:rPr>
      </w:pPr>
      <w:r w:rsidRPr="009E6135">
        <w:rPr>
          <w:rFonts w:ascii="Verdana" w:hAnsi="Verdana"/>
          <w:b/>
          <w:color w:val="FF0000"/>
          <w:sz w:val="20"/>
          <w:szCs w:val="20"/>
        </w:rPr>
        <w:t>Вакцинные препараты для профилактики кори</w:t>
      </w:r>
    </w:p>
    <w:p w:rsidR="006122FB" w:rsidRPr="009E6135" w:rsidRDefault="006122FB" w:rsidP="006122FB">
      <w:pPr>
        <w:jc w:val="both"/>
        <w:rPr>
          <w:rFonts w:ascii="Verdana" w:hAnsi="Verdana"/>
          <w:b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 xml:space="preserve">В настоящее существует несколько видов препаратов моновакцины (борются только с корью) и комбивакцины (защищают организм сразу от нескольких заболеваний).В основном применяются вакцины  отечественного производства: </w:t>
      </w:r>
    </w:p>
    <w:p w:rsidR="006122FB" w:rsidRPr="009E6135" w:rsidRDefault="006122FB" w:rsidP="006122FB">
      <w:pPr>
        <w:pStyle w:val="a7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sz w:val="20"/>
          <w:szCs w:val="20"/>
        </w:rPr>
        <w:lastRenderedPageBreak/>
        <w:t>Вакцина коревая культуральная живая.</w:t>
      </w:r>
      <w:r w:rsidRPr="009E6135">
        <w:rPr>
          <w:rFonts w:ascii="Verdana" w:hAnsi="Verdana"/>
          <w:sz w:val="20"/>
          <w:szCs w:val="20"/>
        </w:rPr>
        <w:t xml:space="preserve"> Производства Россия.Защитные функции организма формируются уже на 28 день после вакцинации. Иммунитет против инфекции сохраняется на протяжении 18 лет.</w:t>
      </w:r>
    </w:p>
    <w:p w:rsidR="006122FB" w:rsidRPr="009E6135" w:rsidRDefault="006122FB" w:rsidP="006122FB">
      <w:pPr>
        <w:pStyle w:val="a7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b/>
          <w:sz w:val="20"/>
          <w:szCs w:val="20"/>
        </w:rPr>
        <w:t>Вакцина паротитно-коревая</w:t>
      </w:r>
      <w:r w:rsidRPr="009E6135">
        <w:rPr>
          <w:rFonts w:ascii="Verdana" w:hAnsi="Verdana"/>
          <w:sz w:val="20"/>
          <w:szCs w:val="20"/>
        </w:rPr>
        <w:t>. Производства Россия.Двухкомпонентная вакцина, формирует иммунитет против кори и паротита торита. Производится в России.</w:t>
      </w:r>
    </w:p>
    <w:p w:rsidR="006122FB" w:rsidRPr="006122FB" w:rsidRDefault="006122FB" w:rsidP="006122FB">
      <w:pPr>
        <w:pStyle w:val="a7"/>
        <w:jc w:val="both"/>
        <w:rPr>
          <w:rFonts w:ascii="Verdana" w:hAnsi="Verdana"/>
          <w:sz w:val="20"/>
          <w:szCs w:val="20"/>
        </w:rPr>
      </w:pPr>
      <w:r w:rsidRPr="006122FB">
        <w:rPr>
          <w:rStyle w:val="a6"/>
          <w:rFonts w:ascii="Verdana" w:hAnsi="Verdana"/>
          <w:b w:val="0"/>
          <w:sz w:val="20"/>
          <w:szCs w:val="20"/>
        </w:rPr>
        <w:t xml:space="preserve">Одобренными на территории РФ являются несколько импортных вакцин против кори, паротита и краснухи. Они </w:t>
      </w:r>
      <w:r w:rsidRPr="006122FB">
        <w:rPr>
          <w:rFonts w:ascii="Verdana" w:hAnsi="Verdana"/>
          <w:sz w:val="20"/>
          <w:szCs w:val="20"/>
        </w:rPr>
        <w:t>могут быть приобретены(получены) в коммерческих медицинских организациях:</w:t>
      </w:r>
    </w:p>
    <w:p w:rsidR="006122FB" w:rsidRPr="006122FB" w:rsidRDefault="006122FB" w:rsidP="006122FB">
      <w:pPr>
        <w:pStyle w:val="a7"/>
        <w:numPr>
          <w:ilvl w:val="0"/>
          <w:numId w:val="5"/>
        </w:numPr>
        <w:jc w:val="both"/>
        <w:rPr>
          <w:rStyle w:val="a6"/>
          <w:rFonts w:ascii="Verdana" w:hAnsi="Verdana"/>
          <w:b w:val="0"/>
          <w:sz w:val="20"/>
          <w:szCs w:val="20"/>
        </w:rPr>
      </w:pPr>
      <w:r w:rsidRPr="006122FB">
        <w:rPr>
          <w:rFonts w:ascii="Verdana" w:hAnsi="Verdana"/>
          <w:sz w:val="20"/>
          <w:szCs w:val="20"/>
        </w:rPr>
        <w:t xml:space="preserve">Вакцина Приорикс, приозводства Бельгия. Комбинированная живая тривакцина, вырабатывает стойкий </w:t>
      </w:r>
      <w:r w:rsidRPr="006122FB">
        <w:rPr>
          <w:rStyle w:val="a6"/>
          <w:rFonts w:ascii="Verdana" w:hAnsi="Verdana"/>
          <w:b w:val="0"/>
          <w:sz w:val="20"/>
          <w:szCs w:val="20"/>
        </w:rPr>
        <w:t>иммунитет одновременно от кори, краснухи и паротита(свинки)</w:t>
      </w:r>
    </w:p>
    <w:p w:rsidR="006122FB" w:rsidRPr="006122FB" w:rsidRDefault="006122FB" w:rsidP="006122FB">
      <w:pPr>
        <w:pStyle w:val="a7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6122FB">
        <w:rPr>
          <w:rFonts w:ascii="Verdana" w:hAnsi="Verdana"/>
          <w:sz w:val="20"/>
          <w:szCs w:val="20"/>
        </w:rPr>
        <w:t>Вакцина ММ</w:t>
      </w:r>
      <w:r w:rsidRPr="006122FB">
        <w:rPr>
          <w:rFonts w:ascii="Verdana" w:hAnsi="Verdana"/>
          <w:sz w:val="20"/>
          <w:szCs w:val="20"/>
          <w:lang w:val="en-US"/>
        </w:rPr>
        <w:t>R</w:t>
      </w:r>
      <w:r w:rsidRPr="006122FB">
        <w:rPr>
          <w:rFonts w:ascii="Verdana" w:hAnsi="Verdana"/>
          <w:sz w:val="20"/>
          <w:szCs w:val="20"/>
        </w:rPr>
        <w:t>-11 совместного производства Голландии и США.</w:t>
      </w:r>
    </w:p>
    <w:p w:rsidR="006122FB" w:rsidRPr="006122FB" w:rsidRDefault="006122FB" w:rsidP="006122FB">
      <w:pPr>
        <w:pStyle w:val="a7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6122FB">
        <w:rPr>
          <w:rFonts w:ascii="Verdana" w:hAnsi="Verdana"/>
          <w:sz w:val="20"/>
          <w:szCs w:val="20"/>
        </w:rPr>
        <w:t>Вакцина Эрвевакс из Великобритании.</w:t>
      </w:r>
    </w:p>
    <w:p w:rsidR="006122FB" w:rsidRPr="006122FB" w:rsidRDefault="006122FB" w:rsidP="006122FB">
      <w:pPr>
        <w:pStyle w:val="a7"/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6122FB">
        <w:rPr>
          <w:rFonts w:ascii="Verdana" w:hAnsi="Verdana"/>
          <w:sz w:val="20"/>
          <w:szCs w:val="20"/>
        </w:rPr>
        <w:t>Вакцина Рувакс,  производится французской известной компанией Aventis Pasteur.</w:t>
      </w:r>
    </w:p>
    <w:p w:rsidR="006122FB" w:rsidRPr="009E6135" w:rsidRDefault="006122FB" w:rsidP="006122FB">
      <w:pPr>
        <w:pStyle w:val="a7"/>
        <w:jc w:val="both"/>
        <w:rPr>
          <w:rFonts w:ascii="Verdana" w:hAnsi="Verdana"/>
          <w:sz w:val="20"/>
          <w:szCs w:val="20"/>
        </w:rPr>
      </w:pPr>
      <w:r w:rsidRPr="006122FB">
        <w:rPr>
          <w:rStyle w:val="a6"/>
          <w:rFonts w:ascii="Verdana" w:hAnsi="Verdana"/>
          <w:b w:val="0"/>
          <w:sz w:val="20"/>
          <w:szCs w:val="20"/>
        </w:rPr>
        <w:t>Все вакцины п</w:t>
      </w:r>
      <w:r w:rsidRPr="009E6135">
        <w:rPr>
          <w:rFonts w:ascii="Verdana" w:hAnsi="Verdana"/>
          <w:sz w:val="20"/>
          <w:szCs w:val="20"/>
        </w:rPr>
        <w:t>рименяются в строгом соответствии с инструкциями по их применению, согласно показаний и противопоказаний к иммунизации.</w:t>
      </w:r>
    </w:p>
    <w:p w:rsidR="006122FB" w:rsidRPr="009E6135" w:rsidRDefault="006122FB" w:rsidP="006122FB">
      <w:pPr>
        <w:pStyle w:val="a7"/>
        <w:jc w:val="both"/>
        <w:rPr>
          <w:rFonts w:ascii="Verdana" w:hAnsi="Verdana"/>
          <w:sz w:val="20"/>
          <w:szCs w:val="20"/>
        </w:rPr>
      </w:pPr>
    </w:p>
    <w:p w:rsidR="006122FB" w:rsidRDefault="00590FBE" w:rsidP="00F5469E">
      <w:pPr>
        <w:pStyle w:val="a4"/>
        <w:jc w:val="left"/>
        <w:rPr>
          <w:rFonts w:ascii="Verdana" w:hAnsi="Verdana"/>
          <w:noProof/>
          <w:sz w:val="20"/>
          <w:szCs w:val="20"/>
        </w:rPr>
      </w:pPr>
      <w:r>
        <w:rPr>
          <w:rFonts w:ascii="Verdana" w:hAnsi="Verdana"/>
          <w:noProof/>
          <w:sz w:val="20"/>
          <w:szCs w:val="20"/>
        </w:rPr>
        <w:drawing>
          <wp:inline distT="0" distB="0" distL="0" distR="0">
            <wp:extent cx="5781675" cy="3667125"/>
            <wp:effectExtent l="19050" t="0" r="9525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FB" w:rsidRDefault="006122FB" w:rsidP="00F5469E">
      <w:pPr>
        <w:pStyle w:val="a4"/>
        <w:jc w:val="left"/>
        <w:rPr>
          <w:rFonts w:ascii="Verdana" w:hAnsi="Verdana"/>
          <w:noProof/>
          <w:sz w:val="20"/>
          <w:szCs w:val="20"/>
        </w:rPr>
      </w:pPr>
    </w:p>
    <w:p w:rsidR="006122FB" w:rsidRDefault="006122FB" w:rsidP="00F5469E">
      <w:pPr>
        <w:pStyle w:val="a4"/>
        <w:jc w:val="left"/>
        <w:rPr>
          <w:rFonts w:ascii="Verdana" w:hAnsi="Verdana"/>
          <w:noProof/>
          <w:sz w:val="20"/>
          <w:szCs w:val="20"/>
        </w:rPr>
      </w:pPr>
    </w:p>
    <w:p w:rsidR="006122FB" w:rsidRPr="009E6135" w:rsidRDefault="006122FB" w:rsidP="006122FB">
      <w:pPr>
        <w:jc w:val="center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>ФБУЗ «Центр гигиены и эпидемиологии</w:t>
      </w: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  <w:r w:rsidRPr="009E6135">
        <w:rPr>
          <w:rFonts w:ascii="Verdana" w:hAnsi="Verdana"/>
          <w:sz w:val="20"/>
          <w:szCs w:val="20"/>
        </w:rPr>
        <w:t>в ХМАО-Югре в г. Лангепасе и в г. Покачи»</w:t>
      </w: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590FBE" w:rsidP="006122FB">
      <w:pPr>
        <w:jc w:val="center"/>
        <w:rPr>
          <w:rFonts w:ascii="Verdana" w:hAnsi="Verdan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6181725" cy="9715500"/>
            <wp:effectExtent l="19050" t="0" r="9525" b="0"/>
            <wp:docPr id="2" name="Рисунок 1" descr="https://2.bp.blogspot.com/-9fWDMMZzi7o/WmrpFGcnApI/AAAAAAAAG0E/IzydOxQkpq4ULGRMTT16cknELmG6xfRgQCLcBGAs/s1600/%25D0%25BA%25D0%25BE%25D1%2580%25D1%258C%2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2.bp.blogspot.com/-9fWDMMZzi7o/WmrpFGcnApI/AAAAAAAAG0E/IzydOxQkpq4ULGRMTT16cknELmG6xfRgQCLcBGAs/s1600/%25D0%25BA%25D0%25BE%25D1%2580%25D1%258C%2B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971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2FB" w:rsidRDefault="006122FB" w:rsidP="006122FB">
      <w:pPr>
        <w:jc w:val="center"/>
        <w:rPr>
          <w:rFonts w:ascii="Verdana" w:hAnsi="Verdana"/>
          <w:sz w:val="20"/>
          <w:szCs w:val="20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6122FB" w:rsidRDefault="006122FB" w:rsidP="00F5469E">
      <w:pPr>
        <w:pStyle w:val="a4"/>
        <w:jc w:val="left"/>
        <w:rPr>
          <w:sz w:val="18"/>
          <w:szCs w:val="18"/>
        </w:rPr>
      </w:pPr>
    </w:p>
    <w:p w:rsidR="00F5469E" w:rsidRDefault="00F5469E" w:rsidP="00F5469E">
      <w:pPr>
        <w:ind w:left="708" w:hanging="708"/>
        <w:rPr>
          <w:sz w:val="16"/>
          <w:szCs w:val="16"/>
        </w:rPr>
      </w:pPr>
    </w:p>
    <w:p w:rsidR="00F5469E" w:rsidRDefault="00F5469E" w:rsidP="00F5469E">
      <w:pPr>
        <w:pStyle w:val="a3"/>
        <w:spacing w:after="0"/>
        <w:jc w:val="center"/>
        <w:rPr>
          <w:b/>
          <w:bCs/>
        </w:rPr>
      </w:pPr>
    </w:p>
    <w:p w:rsidR="00F5469E" w:rsidRDefault="00F5469E" w:rsidP="00F5469E">
      <w:pPr>
        <w:pStyle w:val="a4"/>
        <w:jc w:val="left"/>
        <w:rPr>
          <w:sz w:val="20"/>
        </w:rPr>
      </w:pPr>
    </w:p>
    <w:p w:rsidR="00F5469E" w:rsidRDefault="00F5469E" w:rsidP="00F5469E">
      <w:pPr>
        <w:pStyle w:val="a4"/>
        <w:jc w:val="left"/>
        <w:rPr>
          <w:sz w:val="20"/>
        </w:rPr>
      </w:pPr>
    </w:p>
    <w:p w:rsidR="00F5469E" w:rsidRDefault="00F5469E"/>
    <w:sectPr w:rsidR="00F5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34DE"/>
    <w:multiLevelType w:val="hybridMultilevel"/>
    <w:tmpl w:val="A8903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237EF"/>
    <w:multiLevelType w:val="hybridMultilevel"/>
    <w:tmpl w:val="040EE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53178"/>
    <w:multiLevelType w:val="hybridMultilevel"/>
    <w:tmpl w:val="25F6B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14361F"/>
    <w:multiLevelType w:val="hybridMultilevel"/>
    <w:tmpl w:val="EDB49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AA6D0C"/>
    <w:multiLevelType w:val="hybridMultilevel"/>
    <w:tmpl w:val="6E482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F5469E"/>
    <w:rsid w:val="00102E78"/>
    <w:rsid w:val="00511654"/>
    <w:rsid w:val="00590FBE"/>
    <w:rsid w:val="005B5D02"/>
    <w:rsid w:val="005F34BC"/>
    <w:rsid w:val="006122FB"/>
    <w:rsid w:val="0085681A"/>
    <w:rsid w:val="00A56C77"/>
    <w:rsid w:val="00C2191E"/>
    <w:rsid w:val="00E06254"/>
    <w:rsid w:val="00E24FAD"/>
    <w:rsid w:val="00F5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9E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5469E"/>
    <w:pPr>
      <w:spacing w:after="240"/>
    </w:pPr>
  </w:style>
  <w:style w:type="paragraph" w:styleId="a4">
    <w:name w:val="Body Text"/>
    <w:basedOn w:val="a"/>
    <w:rsid w:val="00F5469E"/>
    <w:pPr>
      <w:jc w:val="center"/>
    </w:pPr>
    <w:rPr>
      <w:sz w:val="28"/>
    </w:rPr>
  </w:style>
  <w:style w:type="paragraph" w:styleId="a5">
    <w:name w:val="List Paragraph"/>
    <w:basedOn w:val="a"/>
    <w:uiPriority w:val="34"/>
    <w:qFormat/>
    <w:rsid w:val="00102E78"/>
    <w:pPr>
      <w:ind w:left="720"/>
      <w:contextualSpacing/>
    </w:pPr>
  </w:style>
  <w:style w:type="character" w:styleId="a6">
    <w:name w:val="Strong"/>
    <w:uiPriority w:val="22"/>
    <w:qFormat/>
    <w:rsid w:val="006122FB"/>
    <w:rPr>
      <w:b/>
      <w:bCs/>
    </w:rPr>
  </w:style>
  <w:style w:type="paragraph" w:styleId="a7">
    <w:name w:val="No Spacing"/>
    <w:uiPriority w:val="1"/>
    <w:qFormat/>
    <w:rsid w:val="006122F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2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1335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Langepas</Company>
  <LinksUpToDate>false</LinksUpToDate>
  <CharactersWithSpaces>8931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PotapovaLV</dc:creator>
  <cp:lastModifiedBy>ШалабановаЕД</cp:lastModifiedBy>
  <cp:revision>2</cp:revision>
  <cp:lastPrinted>2019-02-05T10:43:00Z</cp:lastPrinted>
  <dcterms:created xsi:type="dcterms:W3CDTF">2019-03-14T06:03:00Z</dcterms:created>
  <dcterms:modified xsi:type="dcterms:W3CDTF">2019-03-14T06:03:00Z</dcterms:modified>
</cp:coreProperties>
</file>